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>
        <w:trPr>
          <w:trHeight w:val="392"/>
        </w:trPr>
        <w:tc>
          <w:tcPr>
            <w:tcW w:w="2660" w:type="dxa"/>
            <w:vAlign w:val="center"/>
          </w:tcPr>
          <w:p>
            <w:pPr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 единица транспорта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pacing w:val="-3"/>
                <w:sz w:val="20"/>
                <w:szCs w:val="20"/>
              </w:rPr>
              <w:t>Обязательное</w:t>
            </w:r>
            <w:proofErr w:type="gram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страхование гражданской ответственности владельца автотранспорта (ОСАГО)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 декабря 2014 г.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Информация об автотранспорте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№1 к техническому заданию</w:t>
            </w:r>
          </w:p>
        </w:tc>
      </w:tr>
    </w:tbl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Платонова Ирина Ивановна</dc:creator>
  <cp:keywords/>
  <dc:description/>
  <cp:lastModifiedBy>Платонова Ирина Ивановна</cp:lastModifiedBy>
  <cp:revision>6</cp:revision>
  <dcterms:created xsi:type="dcterms:W3CDTF">2014-11-24T02:23:00Z</dcterms:created>
  <dcterms:modified xsi:type="dcterms:W3CDTF">2014-12-04T02:56:00Z</dcterms:modified>
</cp:coreProperties>
</file>